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C8E417" w14:textId="77777777" w:rsidR="00D75DC8" w:rsidRPr="007613B7" w:rsidRDefault="00000000">
      <w:pPr>
        <w:spacing w:after="80"/>
        <w:jc w:val="center"/>
        <w:rPr>
          <w:rFonts w:ascii="Courier New" w:hAnsi="Courier New" w:cs="Courier New"/>
          <w:sz w:val="24"/>
          <w:szCs w:val="24"/>
        </w:rPr>
      </w:pPr>
      <w:r w:rsidRPr="007613B7">
        <w:rPr>
          <w:rFonts w:ascii="Courier New" w:eastAsia="Calibri" w:hAnsi="Courier New" w:cs="Courier New"/>
          <w:b/>
          <w:bCs/>
          <w:sz w:val="24"/>
          <w:szCs w:val="24"/>
        </w:rPr>
        <w:t>OBSERVACIONES Y COMENTARIOS</w:t>
      </w:r>
    </w:p>
    <w:p w14:paraId="43E3243E" w14:textId="77777777" w:rsidR="00D75DC8" w:rsidRPr="007613B7" w:rsidRDefault="00000000">
      <w:pPr>
        <w:spacing w:after="40"/>
        <w:jc w:val="center"/>
        <w:rPr>
          <w:rFonts w:ascii="Courier New" w:hAnsi="Courier New" w:cs="Courier New"/>
          <w:sz w:val="24"/>
          <w:szCs w:val="24"/>
        </w:rPr>
      </w:pPr>
      <w:r w:rsidRPr="007613B7">
        <w:rPr>
          <w:rFonts w:ascii="Courier New" w:eastAsia="Calibri" w:hAnsi="Courier New" w:cs="Courier New"/>
          <w:b/>
          <w:bCs/>
          <w:sz w:val="24"/>
          <w:szCs w:val="24"/>
        </w:rPr>
        <w:t>Proyecto de Resolución que modifica los Apéndices XV y XVI del Capítulo III del Compendio de Normas Aduaneras</w:t>
      </w:r>
    </w:p>
    <w:p w14:paraId="1416143B" w14:textId="77777777" w:rsidR="00D75DC8" w:rsidRPr="007613B7" w:rsidRDefault="00000000">
      <w:pPr>
        <w:pStyle w:val="Ttulo1"/>
        <w:spacing w:before="320" w:after="160"/>
        <w:rPr>
          <w:rFonts w:ascii="Courier New" w:hAnsi="Courier New" w:cs="Courier New"/>
          <w:color w:val="auto"/>
          <w:sz w:val="24"/>
          <w:szCs w:val="24"/>
        </w:rPr>
      </w:pPr>
      <w:r w:rsidRPr="007613B7">
        <w:rPr>
          <w:rFonts w:ascii="Courier New" w:eastAsia="Calibri" w:hAnsi="Courier New" w:cs="Courier New"/>
          <w:b/>
          <w:bCs/>
          <w:color w:val="auto"/>
          <w:sz w:val="24"/>
          <w:szCs w:val="24"/>
        </w:rPr>
        <w:t>1. Contexto y alcance de estas observaciones</w:t>
      </w:r>
    </w:p>
    <w:p w14:paraId="2E12D79A"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El Servicio Nacional de Aduanas puso en consulta, a través del Procedimiento de Publicación Anticipada, un proyecto de resolución que modifica los Apéndices XV (requisitos de organismos de inspección y calibración de estanques para graneles líquidos) y XVI (procedimiento de ajustes por variaciones en la descarga de graneles líquidos bajo trámite anticipado) del Capítulo III del Compendio de Normas Aduaneras, además de un párrafo del numeral 2.6 del mismo Capítulo y de los formularios de Hoja de Medida (Anexos 5 y 8).</w:t>
      </w:r>
    </w:p>
    <w:p w14:paraId="23E60351"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Las observaciones que siguen se formulan sobre la base del texto del proyecto puesto en consulta, que reproduce únicamente el texto nuevo que se agrega o reemplaza en cada numeral, sin incluir el texto vigente que se sustituye. Por lo tanto, el análisis se centra en la claridad, consistencia interna y aplicabilidad práctica del texto propuesto, más que en una comparación literal con la redacción actualmente vigente.</w:t>
      </w:r>
    </w:p>
    <w:p w14:paraId="4A1A0222" w14:textId="77777777" w:rsidR="00D75DC8" w:rsidRPr="007613B7" w:rsidRDefault="00000000">
      <w:pPr>
        <w:pStyle w:val="Ttulo1"/>
        <w:spacing w:before="320" w:after="160"/>
        <w:rPr>
          <w:rFonts w:ascii="Courier New" w:hAnsi="Courier New" w:cs="Courier New"/>
          <w:color w:val="auto"/>
          <w:sz w:val="24"/>
          <w:szCs w:val="24"/>
        </w:rPr>
      </w:pPr>
      <w:r w:rsidRPr="007613B7">
        <w:rPr>
          <w:rFonts w:ascii="Courier New" w:eastAsia="Calibri" w:hAnsi="Courier New" w:cs="Courier New"/>
          <w:b/>
          <w:bCs/>
          <w:color w:val="auto"/>
          <w:sz w:val="24"/>
          <w:szCs w:val="24"/>
        </w:rPr>
        <w:t>2. Observaciones generales (transversales al proyecto)</w:t>
      </w:r>
    </w:p>
    <w:p w14:paraId="62D0A5AC"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b/>
          <w:bCs/>
          <w:sz w:val="24"/>
          <w:szCs w:val="24"/>
        </w:rPr>
        <w:t xml:space="preserve">2.1 Remisión dinámica a estándares técnicos privados extranjeros (API MPMS / ASTM). </w:t>
      </w:r>
    </w:p>
    <w:p w14:paraId="797090B9"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 xml:space="preserve">Los numerales 3.2, 3.3 y 5 del Anexo 3 (mods. 5, 6 y 7), el numeral 8.9 del Anexo 5 (mod. 10) y los numerales 3.2 y 3.3 del Anexo 7 (mods. 14 y 15) exigen aplicar la "última versión vigente" de capítulos y tablas del API MPMS; a su vez, los numerales 1.2 y 1.4 del Anexo 7 (mods. 11 y 12) exigen considerar "futuras modificaciones" del Manual API. Ninguna de estas disposiciones fija un mecanismo de actualización, aviso o plazo de adecuación para los operadores. Se trata de una remisión dinámica a un estándar privado, de pago y editado en inglés por el American </w:t>
      </w:r>
      <w:proofErr w:type="spellStart"/>
      <w:r w:rsidRPr="007613B7">
        <w:rPr>
          <w:rFonts w:ascii="Courier New" w:eastAsia="Calibri" w:hAnsi="Courier New" w:cs="Courier New"/>
          <w:sz w:val="24"/>
          <w:szCs w:val="24"/>
        </w:rPr>
        <w:t>Petroleum</w:t>
      </w:r>
      <w:proofErr w:type="spellEnd"/>
      <w:r w:rsidRPr="007613B7">
        <w:rPr>
          <w:rFonts w:ascii="Courier New" w:eastAsia="Calibri" w:hAnsi="Courier New" w:cs="Courier New"/>
          <w:sz w:val="24"/>
          <w:szCs w:val="24"/>
        </w:rPr>
        <w:t xml:space="preserve"> </w:t>
      </w:r>
      <w:proofErr w:type="spellStart"/>
      <w:r w:rsidRPr="007613B7">
        <w:rPr>
          <w:rFonts w:ascii="Courier New" w:eastAsia="Calibri" w:hAnsi="Courier New" w:cs="Courier New"/>
          <w:sz w:val="24"/>
          <w:szCs w:val="24"/>
        </w:rPr>
        <w:t>Institute</w:t>
      </w:r>
      <w:proofErr w:type="spellEnd"/>
      <w:r w:rsidRPr="007613B7">
        <w:rPr>
          <w:rFonts w:ascii="Courier New" w:eastAsia="Calibri" w:hAnsi="Courier New" w:cs="Courier New"/>
          <w:sz w:val="24"/>
          <w:szCs w:val="24"/>
        </w:rPr>
        <w:t xml:space="preserve">, cuya modificación futura -sobre la cual el Servicio no tiene control ni obligación de informar- alteraría automáticamente el contenido de una obligación aduanera sin nueva publicación oficial. Ello plantea un problema de certeza jurídica y de acceso a la norma aplicable, y expone a </w:t>
      </w:r>
      <w:proofErr w:type="spellStart"/>
      <w:r w:rsidRPr="007613B7">
        <w:rPr>
          <w:rFonts w:ascii="Courier New" w:eastAsia="Calibri" w:hAnsi="Courier New" w:cs="Courier New"/>
          <w:sz w:val="24"/>
          <w:szCs w:val="24"/>
        </w:rPr>
        <w:t>surveyors</w:t>
      </w:r>
      <w:proofErr w:type="spellEnd"/>
      <w:r w:rsidRPr="007613B7">
        <w:rPr>
          <w:rFonts w:ascii="Courier New" w:eastAsia="Calibri" w:hAnsi="Courier New" w:cs="Courier New"/>
          <w:sz w:val="24"/>
          <w:szCs w:val="24"/>
        </w:rPr>
        <w:t>, agencias de aduana e importadores a discrepancias sobre cuál es la "versión vigente" en un momento dado.</w:t>
      </w:r>
    </w:p>
    <w:p w14:paraId="6E6CEFDB"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Propuesta: fijar la edición específica del API MPMS vigente a la fecha de la resolución (p. ej. "API MPMS Capítulo 11, edición vigente a [fecha]"), estableciendo que las ediciones futuras solo regirán una vez que el Servicio las incorpore formalmente mediante una resolución que actualice la referencia -replicando el mismo procedimiento seguido para incorporar el estándar por primera vez-; o, alternativamente, contemplar un aviso publicado por el Servicio cada vez que se publique una nueva edición y un plazo razonable de adecuación antes de su exigibilidad.</w:t>
      </w:r>
    </w:p>
    <w:p w14:paraId="643A9EEA"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b/>
          <w:bCs/>
          <w:sz w:val="24"/>
          <w:szCs w:val="24"/>
        </w:rPr>
        <w:lastRenderedPageBreak/>
        <w:t xml:space="preserve">2.2 Reiteración no unificada de la prohibición de medir en la "zona crítica". </w:t>
      </w:r>
    </w:p>
    <w:p w14:paraId="37EF68AD"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La misma cláusula sobre la "zona crítica" del techo flotante se incorpora, con idéntico texto, en tres numerales distintos referidos a nivel de líquido (numeral 1.2 del Anexo 3 -mod. 3-, numeral 1.2 del Anexo 4 -mod. 9- y numeral 1.2 del Anexo 7 -mod. 11-), y además se repite en el numeral 1.4 del Anexo 7, relativo a la medición de temperatura y no de nivel (mod. 12), lo que aparenta ser un arrastre de texto entre numerales. Reiterar la misma regla en cuatro numerales incrementa el riesgo de que una futura modificación se incorpore en algunos de ellos y no en otros.</w:t>
      </w:r>
    </w:p>
    <w:p w14:paraId="768F7D60"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Propuesta: incorporar la definición y prohibición de medición en la "zona crítica" como una regla general única -por ejemplo, en un numeral introductorio común a los Anexos 3, 4 y 7- a la que los demás numerales se remitan, y suprimir su reiteración en el numeral 1.4 del Anexo 7.</w:t>
      </w:r>
    </w:p>
    <w:p w14:paraId="79C9C57B"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b/>
          <w:bCs/>
          <w:sz w:val="24"/>
          <w:szCs w:val="24"/>
        </w:rPr>
        <w:t xml:space="preserve">2.3 Ausencia de vigencia diferida o normas transitorias. </w:t>
      </w:r>
    </w:p>
    <w:p w14:paraId="4CA9F865"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 xml:space="preserve">El numeral III del proyecto dispone que la resolución entrará en vigencia con la sola publicación de su extracto en el Diario Oficial, sin normas transitorias. Las modificaciones incorporan una nueva obligación de aviso previo de 48 horas (Anexos 3 y 4), nuevos métodos de muestreo y de determinación de temperatura remitidos a normas API, y un nuevo cómputo de plazos para la SMDA, lo que supone ajustes operativos tanto para el Servicio como para agencias de aduana, importadores y organismos </w:t>
      </w:r>
      <w:proofErr w:type="spellStart"/>
      <w:r w:rsidRPr="007613B7">
        <w:rPr>
          <w:rFonts w:ascii="Courier New" w:eastAsia="Calibri" w:hAnsi="Courier New" w:cs="Courier New"/>
          <w:sz w:val="24"/>
          <w:szCs w:val="24"/>
        </w:rPr>
        <w:t>Surveyor</w:t>
      </w:r>
      <w:proofErr w:type="spellEnd"/>
      <w:r w:rsidRPr="007613B7">
        <w:rPr>
          <w:rFonts w:ascii="Courier New" w:eastAsia="Calibri" w:hAnsi="Courier New" w:cs="Courier New"/>
          <w:sz w:val="24"/>
          <w:szCs w:val="24"/>
        </w:rPr>
        <w:t>.</w:t>
      </w:r>
    </w:p>
    <w:p w14:paraId="2FAB0625"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Propuesta: contemplar una vigencia diferida (por ejemplo, 30 o 60 días corridos desde la publicación) o una norma transitoria que permita concluir bajo las reglas vigentes las operaciones de descarga ya iniciadas o notificadas al momento de la publicación.</w:t>
      </w:r>
    </w:p>
    <w:p w14:paraId="7CA142E1" w14:textId="77777777" w:rsidR="00D75DC8" w:rsidRPr="007613B7" w:rsidRDefault="00000000">
      <w:pPr>
        <w:pStyle w:val="Ttulo1"/>
        <w:spacing w:before="320" w:after="160"/>
        <w:rPr>
          <w:rFonts w:ascii="Courier New" w:hAnsi="Courier New" w:cs="Courier New"/>
          <w:color w:val="auto"/>
          <w:sz w:val="24"/>
          <w:szCs w:val="24"/>
        </w:rPr>
      </w:pPr>
      <w:r w:rsidRPr="007613B7">
        <w:rPr>
          <w:rFonts w:ascii="Courier New" w:eastAsia="Calibri" w:hAnsi="Courier New" w:cs="Courier New"/>
          <w:b/>
          <w:bCs/>
          <w:color w:val="auto"/>
          <w:sz w:val="24"/>
          <w:szCs w:val="24"/>
        </w:rPr>
        <w:t>3. Observaciones específicas por numeral</w:t>
      </w:r>
    </w:p>
    <w:p w14:paraId="518FA8E0" w14:textId="77777777" w:rsidR="00D75DC8" w:rsidRPr="007613B7" w:rsidRDefault="00000000">
      <w:pPr>
        <w:spacing w:after="160"/>
        <w:jc w:val="both"/>
        <w:rPr>
          <w:rFonts w:ascii="Courier New" w:hAnsi="Courier New" w:cs="Courier New"/>
          <w:sz w:val="24"/>
          <w:szCs w:val="24"/>
        </w:rPr>
      </w:pPr>
      <w:r w:rsidRPr="007613B7">
        <w:rPr>
          <w:rFonts w:ascii="Courier New" w:eastAsia="Calibri" w:hAnsi="Courier New" w:cs="Courier New"/>
          <w:sz w:val="24"/>
          <w:szCs w:val="24"/>
        </w:rPr>
        <w:t>La siguiente tabla identifica observaciones puntuales a numerales concretos del proyecto, que se suman a las observaciones generales de la sección anterior.</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900"/>
        <w:gridCol w:w="4300"/>
        <w:gridCol w:w="3500"/>
      </w:tblGrid>
      <w:tr w:rsidR="00D75DC8" w:rsidRPr="007613B7" w14:paraId="50890D70" w14:textId="77777777">
        <w:trPr>
          <w:tblHeader/>
        </w:trPr>
        <w:tc>
          <w:tcPr>
            <w:tcW w:w="700" w:type="dxa"/>
            <w:shd w:val="clear" w:color="auto" w:fill="1F3864"/>
            <w:tcMar>
              <w:top w:w="100" w:type="dxa"/>
              <w:left w:w="100" w:type="dxa"/>
              <w:bottom w:w="100" w:type="dxa"/>
              <w:right w:w="100" w:type="dxa"/>
            </w:tcMar>
          </w:tcPr>
          <w:p w14:paraId="0F4E6BE0" w14:textId="77777777" w:rsidR="00D75DC8" w:rsidRPr="007613B7" w:rsidRDefault="00000000">
            <w:pPr>
              <w:rPr>
                <w:rFonts w:ascii="Courier New" w:hAnsi="Courier New" w:cs="Courier New"/>
                <w:sz w:val="24"/>
                <w:szCs w:val="24"/>
              </w:rPr>
            </w:pPr>
            <w:proofErr w:type="spellStart"/>
            <w:r w:rsidRPr="007613B7">
              <w:rPr>
                <w:rFonts w:ascii="Courier New" w:eastAsia="Calibri" w:hAnsi="Courier New" w:cs="Courier New"/>
                <w:b/>
                <w:bCs/>
                <w:sz w:val="24"/>
                <w:szCs w:val="24"/>
              </w:rPr>
              <w:t>N°</w:t>
            </w:r>
            <w:proofErr w:type="spellEnd"/>
          </w:p>
        </w:tc>
        <w:tc>
          <w:tcPr>
            <w:tcW w:w="1900" w:type="dxa"/>
            <w:shd w:val="clear" w:color="auto" w:fill="1F3864"/>
            <w:tcMar>
              <w:top w:w="100" w:type="dxa"/>
              <w:left w:w="100" w:type="dxa"/>
              <w:bottom w:w="100" w:type="dxa"/>
              <w:right w:w="100" w:type="dxa"/>
            </w:tcMar>
          </w:tcPr>
          <w:p w14:paraId="4E8D2353" w14:textId="77777777" w:rsidR="00D75DC8" w:rsidRPr="007613B7" w:rsidRDefault="00000000">
            <w:pPr>
              <w:rPr>
                <w:rFonts w:ascii="Courier New" w:hAnsi="Courier New" w:cs="Courier New"/>
                <w:sz w:val="24"/>
                <w:szCs w:val="24"/>
              </w:rPr>
            </w:pPr>
            <w:r w:rsidRPr="007613B7">
              <w:rPr>
                <w:rFonts w:ascii="Courier New" w:eastAsia="Calibri" w:hAnsi="Courier New" w:cs="Courier New"/>
                <w:b/>
                <w:bCs/>
                <w:sz w:val="24"/>
                <w:szCs w:val="24"/>
              </w:rPr>
              <w:t>Disposición del proyecto</w:t>
            </w:r>
          </w:p>
        </w:tc>
        <w:tc>
          <w:tcPr>
            <w:tcW w:w="4300" w:type="dxa"/>
            <w:shd w:val="clear" w:color="auto" w:fill="1F3864"/>
            <w:tcMar>
              <w:top w:w="100" w:type="dxa"/>
              <w:left w:w="100" w:type="dxa"/>
              <w:bottom w:w="100" w:type="dxa"/>
              <w:right w:w="100" w:type="dxa"/>
            </w:tcMar>
          </w:tcPr>
          <w:p w14:paraId="179114C6" w14:textId="77777777" w:rsidR="00D75DC8" w:rsidRPr="007613B7" w:rsidRDefault="00000000">
            <w:pPr>
              <w:rPr>
                <w:rFonts w:ascii="Courier New" w:hAnsi="Courier New" w:cs="Courier New"/>
                <w:sz w:val="24"/>
                <w:szCs w:val="24"/>
              </w:rPr>
            </w:pPr>
            <w:r w:rsidRPr="007613B7">
              <w:rPr>
                <w:rFonts w:ascii="Courier New" w:eastAsia="Calibri" w:hAnsi="Courier New" w:cs="Courier New"/>
                <w:b/>
                <w:bCs/>
                <w:sz w:val="24"/>
                <w:szCs w:val="24"/>
              </w:rPr>
              <w:t>Observación</w:t>
            </w:r>
          </w:p>
        </w:tc>
        <w:tc>
          <w:tcPr>
            <w:tcW w:w="3500" w:type="dxa"/>
            <w:shd w:val="clear" w:color="auto" w:fill="1F3864"/>
            <w:tcMar>
              <w:top w:w="100" w:type="dxa"/>
              <w:left w:w="100" w:type="dxa"/>
              <w:bottom w:w="100" w:type="dxa"/>
              <w:right w:w="100" w:type="dxa"/>
            </w:tcMar>
          </w:tcPr>
          <w:p w14:paraId="33D6BFCE" w14:textId="77777777" w:rsidR="00D75DC8" w:rsidRPr="007613B7" w:rsidRDefault="00000000">
            <w:pPr>
              <w:rPr>
                <w:rFonts w:ascii="Courier New" w:hAnsi="Courier New" w:cs="Courier New"/>
                <w:sz w:val="24"/>
                <w:szCs w:val="24"/>
              </w:rPr>
            </w:pPr>
            <w:r w:rsidRPr="007613B7">
              <w:rPr>
                <w:rFonts w:ascii="Courier New" w:eastAsia="Calibri" w:hAnsi="Courier New" w:cs="Courier New"/>
                <w:b/>
                <w:bCs/>
                <w:sz w:val="24"/>
                <w:szCs w:val="24"/>
              </w:rPr>
              <w:t>Propuesta</w:t>
            </w:r>
          </w:p>
        </w:tc>
      </w:tr>
      <w:tr w:rsidR="00D75DC8" w:rsidRPr="007613B7" w14:paraId="1D4DF805" w14:textId="77777777">
        <w:tc>
          <w:tcPr>
            <w:tcW w:w="700" w:type="dxa"/>
            <w:tcMar>
              <w:top w:w="100" w:type="dxa"/>
              <w:left w:w="100" w:type="dxa"/>
              <w:bottom w:w="100" w:type="dxa"/>
              <w:right w:w="100" w:type="dxa"/>
            </w:tcMar>
          </w:tcPr>
          <w:p w14:paraId="34D56618"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1</w:t>
            </w:r>
          </w:p>
        </w:tc>
        <w:tc>
          <w:tcPr>
            <w:tcW w:w="1900" w:type="dxa"/>
            <w:tcMar>
              <w:top w:w="100" w:type="dxa"/>
              <w:left w:w="100" w:type="dxa"/>
              <w:bottom w:w="100" w:type="dxa"/>
              <w:right w:w="100" w:type="dxa"/>
            </w:tcMar>
          </w:tcPr>
          <w:p w14:paraId="79BA697A"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Numeral 1 — nuevo párrafo final del numeral 2.6, Cap. III (GNL)</w:t>
            </w:r>
          </w:p>
        </w:tc>
        <w:tc>
          <w:tcPr>
            <w:tcW w:w="4300" w:type="dxa"/>
            <w:tcMar>
              <w:top w:w="100" w:type="dxa"/>
              <w:left w:w="100" w:type="dxa"/>
              <w:bottom w:w="100" w:type="dxa"/>
              <w:right w:w="100" w:type="dxa"/>
            </w:tcMar>
          </w:tcPr>
          <w:p w14:paraId="7F6D6773"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 xml:space="preserve">El Considerando que motiva esta modificación identifica una inconsistencia entre el plazo de 15 días hábiles del numeral 2.2 letra B del Apéndice VI y el plazo de 7 días de los numerales 2.4 y 2.6 del Capítulo III. Sin embargo, el texto dispositivo modifica </w:t>
            </w:r>
            <w:r w:rsidRPr="007613B7">
              <w:rPr>
                <w:rFonts w:ascii="Courier New" w:eastAsia="Calibri" w:hAnsi="Courier New" w:cs="Courier New"/>
                <w:sz w:val="24"/>
                <w:szCs w:val="24"/>
              </w:rPr>
              <w:lastRenderedPageBreak/>
              <w:t>únicamente el numeral 2.6, dejando intacto el numeral 2.4, que según el propio Considerando adolece del mismo problema de armonización. Tampoco se precisa ante quién debe entenderse "recibido" el certificado de medición (importador, agencia de aduanas o la propia Aduana) para efectos de iniciar el cómputo del plazo.</w:t>
            </w:r>
          </w:p>
        </w:tc>
        <w:tc>
          <w:tcPr>
            <w:tcW w:w="3500" w:type="dxa"/>
            <w:tcMar>
              <w:top w:w="100" w:type="dxa"/>
              <w:left w:w="100" w:type="dxa"/>
              <w:bottom w:w="100" w:type="dxa"/>
              <w:right w:w="100" w:type="dxa"/>
            </w:tcMar>
          </w:tcPr>
          <w:p w14:paraId="2326A9D4"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lastRenderedPageBreak/>
              <w:t>Extender la misma regla de cómputo (desde la recepción del certificado de medición) al numeral 2.4, y precisar expresamente el sujeto respecto de quien se computa la recepción del certificado.</w:t>
            </w:r>
          </w:p>
        </w:tc>
      </w:tr>
      <w:tr w:rsidR="00D75DC8" w:rsidRPr="007613B7" w14:paraId="54270F88" w14:textId="77777777">
        <w:tc>
          <w:tcPr>
            <w:tcW w:w="700" w:type="dxa"/>
            <w:tcMar>
              <w:top w:w="100" w:type="dxa"/>
              <w:left w:w="100" w:type="dxa"/>
              <w:bottom w:w="100" w:type="dxa"/>
              <w:right w:w="100" w:type="dxa"/>
            </w:tcMar>
          </w:tcPr>
          <w:p w14:paraId="53308EAA"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2 y 8</w:t>
            </w:r>
          </w:p>
        </w:tc>
        <w:tc>
          <w:tcPr>
            <w:tcW w:w="1900" w:type="dxa"/>
            <w:tcMar>
              <w:top w:w="100" w:type="dxa"/>
              <w:left w:w="100" w:type="dxa"/>
              <w:bottom w:w="100" w:type="dxa"/>
              <w:right w:w="100" w:type="dxa"/>
            </w:tcMar>
          </w:tcPr>
          <w:p w14:paraId="08DDE81A"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Nuevo encabezado de los Anexos 3 y 4, Apéndice XV (aviso previo de 48 horas)</w:t>
            </w:r>
          </w:p>
        </w:tc>
        <w:tc>
          <w:tcPr>
            <w:tcW w:w="4300" w:type="dxa"/>
            <w:tcMar>
              <w:top w:w="100" w:type="dxa"/>
              <w:left w:w="100" w:type="dxa"/>
              <w:bottom w:w="100" w:type="dxa"/>
              <w:right w:w="100" w:type="dxa"/>
            </w:tcMar>
          </w:tcPr>
          <w:p w14:paraId="441DE6D7"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Se crea una obligación de aviso previo por correo electrónico, con 48 horas de antelación mínima, salvo "situaciones debidamente justificadas". No se define si el plazo es de horas corridas o hábiles, ni el correo electrónico o canal formal único al que debe dirigirse el aviso, ni qué constituye una situación "debidamente justificada", ni la consecuencia del incumplimiento. El plazo fijo puede ser de difícil cumplimiento cuando la ventana de atraque cambia por causas ajenas al importador (disponibilidad portuaria, clima).</w:t>
            </w:r>
          </w:p>
        </w:tc>
        <w:tc>
          <w:tcPr>
            <w:tcW w:w="3500" w:type="dxa"/>
            <w:tcMar>
              <w:top w:w="100" w:type="dxa"/>
              <w:left w:w="100" w:type="dxa"/>
              <w:bottom w:w="100" w:type="dxa"/>
              <w:right w:w="100" w:type="dxa"/>
            </w:tcMar>
          </w:tcPr>
          <w:p w14:paraId="4A2DA530" w14:textId="4AB2D766"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Precisar naturaleza del plazo</w:t>
            </w:r>
            <w:r w:rsidR="007F6951" w:rsidRPr="007613B7">
              <w:rPr>
                <w:rFonts w:ascii="Courier New" w:eastAsia="Calibri" w:hAnsi="Courier New" w:cs="Courier New"/>
                <w:sz w:val="24"/>
                <w:szCs w:val="24"/>
              </w:rPr>
              <w:t xml:space="preserve">  y establecer una antelación mínima  de  12 horas corridas</w:t>
            </w:r>
            <w:r w:rsidRPr="007613B7">
              <w:rPr>
                <w:rFonts w:ascii="Courier New" w:eastAsia="Calibri" w:hAnsi="Courier New" w:cs="Courier New"/>
                <w:sz w:val="24"/>
                <w:szCs w:val="24"/>
              </w:rPr>
              <w:t>; fijar una casilla de correo formal única por Aduana/Unidad con acuse de recibo; definir criterios no taxativos de "justificación" (p. ej. cambios de ventana de atraque no imputables al importador); y explicitar la consecuencia del incumplimiento del aviso.</w:t>
            </w:r>
          </w:p>
        </w:tc>
      </w:tr>
      <w:tr w:rsidR="00D75DC8" w:rsidRPr="007613B7" w14:paraId="14A2DD31" w14:textId="77777777">
        <w:tc>
          <w:tcPr>
            <w:tcW w:w="700" w:type="dxa"/>
            <w:tcMar>
              <w:top w:w="100" w:type="dxa"/>
              <w:left w:w="100" w:type="dxa"/>
              <w:bottom w:w="100" w:type="dxa"/>
              <w:right w:w="100" w:type="dxa"/>
            </w:tcMar>
          </w:tcPr>
          <w:p w14:paraId="798BC03A"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3, 9, 11 y 12</w:t>
            </w:r>
          </w:p>
        </w:tc>
        <w:tc>
          <w:tcPr>
            <w:tcW w:w="1900" w:type="dxa"/>
            <w:tcMar>
              <w:top w:w="100" w:type="dxa"/>
              <w:left w:w="100" w:type="dxa"/>
              <w:bottom w:w="100" w:type="dxa"/>
              <w:right w:w="100" w:type="dxa"/>
            </w:tcMar>
          </w:tcPr>
          <w:p w14:paraId="015A5986"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Prohibición de medir en la "zona crítica" (Anexos 3, 4 y 7)</w:t>
            </w:r>
          </w:p>
        </w:tc>
        <w:tc>
          <w:tcPr>
            <w:tcW w:w="4300" w:type="dxa"/>
            <w:tcMar>
              <w:top w:w="100" w:type="dxa"/>
              <w:left w:w="100" w:type="dxa"/>
              <w:bottom w:w="100" w:type="dxa"/>
              <w:right w:w="100" w:type="dxa"/>
            </w:tcMar>
          </w:tcPr>
          <w:p w14:paraId="0229251A"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 xml:space="preserve">La misma cláusula se incorpora, con idéntico texto, en cuatro numerales distintos (1.2 de los Anexos 3, 4 y 7, y nuevamente en el 1.4 del Anexo 7, referido a temperatura y no a nivel). Además, ningún numeral define cómo se determina en terreno la extensión de la "zona crítica" de cada estanque, dejando la prohibición sin un criterio </w:t>
            </w:r>
            <w:r w:rsidRPr="007613B7">
              <w:rPr>
                <w:rFonts w:ascii="Courier New" w:eastAsia="Calibri" w:hAnsi="Courier New" w:cs="Courier New"/>
                <w:sz w:val="24"/>
                <w:szCs w:val="24"/>
              </w:rPr>
              <w:lastRenderedPageBreak/>
              <w:t xml:space="preserve">operativo para su aplicación por el </w:t>
            </w:r>
            <w:proofErr w:type="spellStart"/>
            <w:r w:rsidRPr="007613B7">
              <w:rPr>
                <w:rFonts w:ascii="Courier New" w:eastAsia="Calibri" w:hAnsi="Courier New" w:cs="Courier New"/>
                <w:sz w:val="24"/>
                <w:szCs w:val="24"/>
              </w:rPr>
              <w:t>Surveyor</w:t>
            </w:r>
            <w:proofErr w:type="spellEnd"/>
            <w:r w:rsidRPr="007613B7">
              <w:rPr>
                <w:rFonts w:ascii="Courier New" w:eastAsia="Calibri" w:hAnsi="Courier New" w:cs="Courier New"/>
                <w:sz w:val="24"/>
                <w:szCs w:val="24"/>
              </w:rPr>
              <w:t>.</w:t>
            </w:r>
          </w:p>
        </w:tc>
        <w:tc>
          <w:tcPr>
            <w:tcW w:w="3500" w:type="dxa"/>
            <w:tcMar>
              <w:top w:w="100" w:type="dxa"/>
              <w:left w:w="100" w:type="dxa"/>
              <w:bottom w:w="100" w:type="dxa"/>
              <w:right w:w="100" w:type="dxa"/>
            </w:tcMar>
          </w:tcPr>
          <w:p w14:paraId="7F810B7E"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lastRenderedPageBreak/>
              <w:t xml:space="preserve">Unificar la regla en una única disposición general aplicable a los Anexos 3, 4 y 7 (evitando su repetición literal y la reiteración injustificada en el numeral 1.4 del Anexo 7); y exigir que la extensión de la zona crítica de cada estanque conste en la </w:t>
            </w:r>
            <w:r w:rsidRPr="007613B7">
              <w:rPr>
                <w:rFonts w:ascii="Courier New" w:eastAsia="Calibri" w:hAnsi="Courier New" w:cs="Courier New"/>
                <w:sz w:val="24"/>
                <w:szCs w:val="24"/>
              </w:rPr>
              <w:lastRenderedPageBreak/>
              <w:t xml:space="preserve">documentación técnica a disposición del </w:t>
            </w:r>
            <w:proofErr w:type="spellStart"/>
            <w:r w:rsidRPr="007613B7">
              <w:rPr>
                <w:rFonts w:ascii="Courier New" w:eastAsia="Calibri" w:hAnsi="Courier New" w:cs="Courier New"/>
                <w:sz w:val="24"/>
                <w:szCs w:val="24"/>
              </w:rPr>
              <w:t>Surveyor</w:t>
            </w:r>
            <w:proofErr w:type="spellEnd"/>
            <w:r w:rsidRPr="007613B7">
              <w:rPr>
                <w:rFonts w:ascii="Courier New" w:eastAsia="Calibri" w:hAnsi="Courier New" w:cs="Courier New"/>
                <w:sz w:val="24"/>
                <w:szCs w:val="24"/>
              </w:rPr>
              <w:t>, o remitirse al estándar API que la regula (p. ej. API MPMS Cap. 3).</w:t>
            </w:r>
          </w:p>
        </w:tc>
      </w:tr>
      <w:tr w:rsidR="00D75DC8" w:rsidRPr="007613B7" w14:paraId="418BC714" w14:textId="77777777">
        <w:tc>
          <w:tcPr>
            <w:tcW w:w="700" w:type="dxa"/>
            <w:tcMar>
              <w:top w:w="100" w:type="dxa"/>
              <w:left w:w="100" w:type="dxa"/>
              <w:bottom w:w="100" w:type="dxa"/>
              <w:right w:w="100" w:type="dxa"/>
            </w:tcMar>
          </w:tcPr>
          <w:p w14:paraId="470C680F"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lastRenderedPageBreak/>
              <w:t>4</w:t>
            </w:r>
          </w:p>
        </w:tc>
        <w:tc>
          <w:tcPr>
            <w:tcW w:w="1900" w:type="dxa"/>
            <w:tcMar>
              <w:top w:w="100" w:type="dxa"/>
              <w:left w:w="100" w:type="dxa"/>
              <w:bottom w:w="100" w:type="dxa"/>
              <w:right w:w="100" w:type="dxa"/>
            </w:tcMar>
          </w:tcPr>
          <w:p w14:paraId="4200D753"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Numeral 1.5, Anexo 3 (método alternativo de muestreo)</w:t>
            </w:r>
          </w:p>
        </w:tc>
        <w:tc>
          <w:tcPr>
            <w:tcW w:w="4300" w:type="dxa"/>
            <w:tcMar>
              <w:top w:w="100" w:type="dxa"/>
              <w:left w:w="100" w:type="dxa"/>
              <w:bottom w:w="100" w:type="dxa"/>
              <w:right w:w="100" w:type="dxa"/>
            </w:tcMar>
          </w:tcPr>
          <w:p w14:paraId="355156C2"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Se permite un método de muestreo alternativo cuando las condiciones del estanque impidan el método de "todos los niveles", siempre que asegure "representatividad equivalente", sin exigir que dicha equivalencia quede acreditada, documentada o quién la determina.</w:t>
            </w:r>
          </w:p>
        </w:tc>
        <w:tc>
          <w:tcPr>
            <w:tcW w:w="3500" w:type="dxa"/>
            <w:tcMar>
              <w:top w:w="100" w:type="dxa"/>
              <w:left w:w="100" w:type="dxa"/>
              <w:bottom w:w="100" w:type="dxa"/>
              <w:right w:w="100" w:type="dxa"/>
            </w:tcMar>
          </w:tcPr>
          <w:p w14:paraId="0C7A0E85"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 xml:space="preserve">Exigir que el uso del método alternativo y los fundamentos de su equivalencia queden consignados por escrito en la Hoja de Medida o en las observaciones del informe del </w:t>
            </w:r>
            <w:proofErr w:type="spellStart"/>
            <w:r w:rsidRPr="007613B7">
              <w:rPr>
                <w:rFonts w:ascii="Courier New" w:eastAsia="Calibri" w:hAnsi="Courier New" w:cs="Courier New"/>
                <w:sz w:val="24"/>
                <w:szCs w:val="24"/>
              </w:rPr>
              <w:t>Surveyor</w:t>
            </w:r>
            <w:proofErr w:type="spellEnd"/>
            <w:r w:rsidRPr="007613B7">
              <w:rPr>
                <w:rFonts w:ascii="Courier New" w:eastAsia="Calibri" w:hAnsi="Courier New" w:cs="Courier New"/>
                <w:sz w:val="24"/>
                <w:szCs w:val="24"/>
              </w:rPr>
              <w:t>, para trazabilidad y fiscalización posterior.</w:t>
            </w:r>
          </w:p>
        </w:tc>
      </w:tr>
      <w:tr w:rsidR="00D75DC8" w:rsidRPr="007613B7" w14:paraId="4F2580DA" w14:textId="77777777">
        <w:tc>
          <w:tcPr>
            <w:tcW w:w="700" w:type="dxa"/>
            <w:tcMar>
              <w:top w:w="100" w:type="dxa"/>
              <w:left w:w="100" w:type="dxa"/>
              <w:bottom w:w="100" w:type="dxa"/>
              <w:right w:w="100" w:type="dxa"/>
            </w:tcMar>
          </w:tcPr>
          <w:p w14:paraId="2A611E09"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5, 6, 7, 14 y 15</w:t>
            </w:r>
          </w:p>
        </w:tc>
        <w:tc>
          <w:tcPr>
            <w:tcW w:w="1900" w:type="dxa"/>
            <w:tcMar>
              <w:top w:w="100" w:type="dxa"/>
              <w:left w:w="100" w:type="dxa"/>
              <w:bottom w:w="100" w:type="dxa"/>
              <w:right w:w="100" w:type="dxa"/>
            </w:tcMar>
          </w:tcPr>
          <w:p w14:paraId="6ACA1BF4"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Remisión a la "última versión vigente" del API MPMS Cap. 11 (Anexos 3 y 7)</w:t>
            </w:r>
          </w:p>
        </w:tc>
        <w:tc>
          <w:tcPr>
            <w:tcW w:w="4300" w:type="dxa"/>
            <w:tcMar>
              <w:top w:w="100" w:type="dxa"/>
              <w:left w:w="100" w:type="dxa"/>
              <w:bottom w:w="100" w:type="dxa"/>
              <w:right w:w="100" w:type="dxa"/>
            </w:tcMar>
          </w:tcPr>
          <w:p w14:paraId="669F53ED"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Ver Observación general N°1 (remisión dinámica a estándar técnico privado extranjero sin mecanismo de actualización ni acceso).</w:t>
            </w:r>
          </w:p>
        </w:tc>
        <w:tc>
          <w:tcPr>
            <w:tcW w:w="3500" w:type="dxa"/>
            <w:tcMar>
              <w:top w:w="100" w:type="dxa"/>
              <w:left w:w="100" w:type="dxa"/>
              <w:bottom w:w="100" w:type="dxa"/>
              <w:right w:w="100" w:type="dxa"/>
            </w:tcMar>
          </w:tcPr>
          <w:p w14:paraId="0963A7B5"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Ver propuesta de la Observación general N°1.</w:t>
            </w:r>
          </w:p>
        </w:tc>
      </w:tr>
      <w:tr w:rsidR="00D75DC8" w:rsidRPr="007613B7" w14:paraId="0DD51F8A" w14:textId="77777777">
        <w:tc>
          <w:tcPr>
            <w:tcW w:w="700" w:type="dxa"/>
            <w:tcMar>
              <w:top w:w="100" w:type="dxa"/>
              <w:left w:w="100" w:type="dxa"/>
              <w:bottom w:w="100" w:type="dxa"/>
              <w:right w:w="100" w:type="dxa"/>
            </w:tcMar>
          </w:tcPr>
          <w:p w14:paraId="6B528BB0"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17</w:t>
            </w:r>
          </w:p>
        </w:tc>
        <w:tc>
          <w:tcPr>
            <w:tcW w:w="1900" w:type="dxa"/>
            <w:tcMar>
              <w:top w:w="100" w:type="dxa"/>
              <w:left w:w="100" w:type="dxa"/>
              <w:bottom w:w="100" w:type="dxa"/>
              <w:right w:w="100" w:type="dxa"/>
            </w:tcMar>
          </w:tcPr>
          <w:p w14:paraId="58C5D2B3"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Nuevos Anexos 5 y 8, Apéndice XV (Hojas de Medida)</w:t>
            </w:r>
          </w:p>
        </w:tc>
        <w:tc>
          <w:tcPr>
            <w:tcW w:w="4300" w:type="dxa"/>
            <w:tcMar>
              <w:top w:w="100" w:type="dxa"/>
              <w:left w:w="100" w:type="dxa"/>
              <w:bottom w:w="100" w:type="dxa"/>
              <w:right w:w="100" w:type="dxa"/>
            </w:tcMar>
          </w:tcPr>
          <w:p w14:paraId="38310F4B"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t xml:space="preserve">(a) El nuevo Anexo 5 mantiene, en los campos "GRAV. API a 60°F" y "FACTOR VOL. a 60°F", la referencia a "Tabla 5A, 5B, ASTM D-1250" y "Tabla 6A, 6B, ASTM D-1250", mientras que el texto de los numerales modificados (mods. 5, 6, 7 y 10) reemplaza esas referencias por la "última versión vigente" del API MPMS Cap. 11, generando una discordancia formal sobre qué estándar debe invocar el </w:t>
            </w:r>
            <w:proofErr w:type="spellStart"/>
            <w:r w:rsidRPr="007613B7">
              <w:rPr>
                <w:rFonts w:ascii="Courier New" w:eastAsia="Calibri" w:hAnsi="Courier New" w:cs="Courier New"/>
                <w:sz w:val="24"/>
                <w:szCs w:val="24"/>
              </w:rPr>
              <w:t>Surveyor</w:t>
            </w:r>
            <w:proofErr w:type="spellEnd"/>
            <w:r w:rsidRPr="007613B7">
              <w:rPr>
                <w:rFonts w:ascii="Courier New" w:eastAsia="Calibri" w:hAnsi="Courier New" w:cs="Courier New"/>
                <w:sz w:val="24"/>
                <w:szCs w:val="24"/>
              </w:rPr>
              <w:t xml:space="preserve"> al llenar el formulario. (b) El nuevo Anexo 8 contiene, en su columna final, la etiqueta "G.S.V. Lis 60°F", que </w:t>
            </w:r>
            <w:r w:rsidRPr="007613B7">
              <w:rPr>
                <w:rFonts w:ascii="Courier New" w:eastAsia="Calibri" w:hAnsi="Courier New" w:cs="Courier New"/>
                <w:sz w:val="24"/>
                <w:szCs w:val="24"/>
              </w:rPr>
              <w:lastRenderedPageBreak/>
              <w:t>aparenta un error tipográfico (¿"</w:t>
            </w:r>
            <w:proofErr w:type="spellStart"/>
            <w:r w:rsidRPr="007613B7">
              <w:rPr>
                <w:rFonts w:ascii="Courier New" w:eastAsia="Calibri" w:hAnsi="Courier New" w:cs="Courier New"/>
                <w:sz w:val="24"/>
                <w:szCs w:val="24"/>
              </w:rPr>
              <w:t>Lts</w:t>
            </w:r>
            <w:proofErr w:type="spellEnd"/>
            <w:r w:rsidRPr="007613B7">
              <w:rPr>
                <w:rFonts w:ascii="Courier New" w:eastAsia="Calibri" w:hAnsi="Courier New" w:cs="Courier New"/>
                <w:sz w:val="24"/>
                <w:szCs w:val="24"/>
              </w:rPr>
              <w:t xml:space="preserve"> 60°F"?).</w:t>
            </w:r>
          </w:p>
        </w:tc>
        <w:tc>
          <w:tcPr>
            <w:tcW w:w="3500" w:type="dxa"/>
            <w:tcMar>
              <w:top w:w="100" w:type="dxa"/>
              <w:left w:w="100" w:type="dxa"/>
              <w:bottom w:w="100" w:type="dxa"/>
              <w:right w:w="100" w:type="dxa"/>
            </w:tcMar>
          </w:tcPr>
          <w:p w14:paraId="4D248A29" w14:textId="77777777" w:rsidR="00D75DC8" w:rsidRPr="007613B7" w:rsidRDefault="00000000">
            <w:pPr>
              <w:rPr>
                <w:rFonts w:ascii="Courier New" w:hAnsi="Courier New" w:cs="Courier New"/>
                <w:sz w:val="24"/>
                <w:szCs w:val="24"/>
              </w:rPr>
            </w:pPr>
            <w:r w:rsidRPr="007613B7">
              <w:rPr>
                <w:rFonts w:ascii="Courier New" w:eastAsia="Calibri" w:hAnsi="Courier New" w:cs="Courier New"/>
                <w:sz w:val="24"/>
                <w:szCs w:val="24"/>
              </w:rPr>
              <w:lastRenderedPageBreak/>
              <w:t>Actualizar las referencias del Anexo 5 para que citen el API MPMS Cap. 11 en forma consistente con el nuevo texto de los numerales respectivos (o aclarar expresamente que ambas referencias se entienden equivalentes); y corregir la etiqueta del Anexo 8.</w:t>
            </w:r>
          </w:p>
        </w:tc>
      </w:tr>
    </w:tbl>
    <w:p w14:paraId="2519248D" w14:textId="160DA158" w:rsidR="00D75DC8" w:rsidRDefault="00D75DC8" w:rsidP="00CD2C7F">
      <w:pPr>
        <w:spacing w:before="300"/>
        <w:rPr>
          <w:rFonts w:ascii="Courier New" w:hAnsi="Courier New" w:cs="Courier New"/>
          <w:sz w:val="24"/>
          <w:szCs w:val="24"/>
        </w:rPr>
      </w:pPr>
    </w:p>
    <w:p w14:paraId="56345C17" w14:textId="77777777" w:rsidR="00867F64" w:rsidRDefault="00867F64" w:rsidP="00CD2C7F">
      <w:pPr>
        <w:spacing w:before="300"/>
        <w:rPr>
          <w:rFonts w:ascii="Courier New" w:hAnsi="Courier New" w:cs="Courier New"/>
          <w:sz w:val="24"/>
          <w:szCs w:val="24"/>
        </w:rPr>
      </w:pPr>
    </w:p>
    <w:p w14:paraId="0B610106" w14:textId="31191818" w:rsidR="00867F64" w:rsidRDefault="00867F64" w:rsidP="00CD2C7F">
      <w:pPr>
        <w:spacing w:before="300"/>
        <w:rPr>
          <w:rFonts w:ascii="Courier New" w:hAnsi="Courier New" w:cs="Courier New"/>
          <w:sz w:val="24"/>
          <w:szCs w:val="24"/>
        </w:rPr>
      </w:pPr>
      <w:r>
        <w:rPr>
          <w:rFonts w:ascii="Courier New" w:hAnsi="Courier New" w:cs="Courier New"/>
          <w:sz w:val="24"/>
          <w:szCs w:val="24"/>
        </w:rPr>
        <w:t>Mauricio Zelada Pérez</w:t>
      </w:r>
    </w:p>
    <w:p w14:paraId="5BF7E72E" w14:textId="36EF00F1" w:rsidR="00867F64" w:rsidRDefault="00867F64" w:rsidP="00CD2C7F">
      <w:pPr>
        <w:spacing w:before="300"/>
        <w:rPr>
          <w:rFonts w:ascii="Courier New" w:hAnsi="Courier New" w:cs="Courier New"/>
          <w:sz w:val="24"/>
          <w:szCs w:val="24"/>
        </w:rPr>
      </w:pPr>
      <w:r>
        <w:rPr>
          <w:rFonts w:ascii="Courier New" w:hAnsi="Courier New" w:cs="Courier New"/>
          <w:sz w:val="24"/>
          <w:szCs w:val="24"/>
        </w:rPr>
        <w:t>Abogado</w:t>
      </w:r>
    </w:p>
    <w:p w14:paraId="55F16098" w14:textId="495B1A84" w:rsidR="00867F64" w:rsidRPr="007613B7" w:rsidRDefault="00867F64" w:rsidP="00CD2C7F">
      <w:pPr>
        <w:spacing w:before="300"/>
        <w:rPr>
          <w:rFonts w:ascii="Courier New" w:hAnsi="Courier New" w:cs="Courier New"/>
          <w:sz w:val="24"/>
          <w:szCs w:val="24"/>
        </w:rPr>
      </w:pPr>
      <w:r>
        <w:rPr>
          <w:rFonts w:ascii="Courier New" w:hAnsi="Courier New" w:cs="Courier New"/>
          <w:sz w:val="24"/>
          <w:szCs w:val="24"/>
        </w:rPr>
        <w:t>Zelada Abogados</w:t>
      </w:r>
    </w:p>
    <w:sectPr w:rsidR="00867F64" w:rsidRPr="007613B7">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0334D4"/>
    <w:multiLevelType w:val="hybridMultilevel"/>
    <w:tmpl w:val="B3009676"/>
    <w:lvl w:ilvl="0" w:tplc="BE5C4876">
      <w:start w:val="1"/>
      <w:numFmt w:val="bullet"/>
      <w:lvlText w:val="•"/>
      <w:lvlJc w:val="left"/>
      <w:pPr>
        <w:ind w:left="420" w:hanging="240"/>
      </w:pPr>
    </w:lvl>
    <w:lvl w:ilvl="1" w:tplc="2320F510">
      <w:numFmt w:val="decimal"/>
      <w:lvlText w:val=""/>
      <w:lvlJc w:val="left"/>
    </w:lvl>
    <w:lvl w:ilvl="2" w:tplc="E662017E">
      <w:numFmt w:val="decimal"/>
      <w:lvlText w:val=""/>
      <w:lvlJc w:val="left"/>
    </w:lvl>
    <w:lvl w:ilvl="3" w:tplc="9E2A3B62">
      <w:numFmt w:val="decimal"/>
      <w:lvlText w:val=""/>
      <w:lvlJc w:val="left"/>
    </w:lvl>
    <w:lvl w:ilvl="4" w:tplc="94F27826">
      <w:numFmt w:val="decimal"/>
      <w:lvlText w:val=""/>
      <w:lvlJc w:val="left"/>
    </w:lvl>
    <w:lvl w:ilvl="5" w:tplc="D2081D32">
      <w:numFmt w:val="decimal"/>
      <w:lvlText w:val=""/>
      <w:lvlJc w:val="left"/>
    </w:lvl>
    <w:lvl w:ilvl="6" w:tplc="85185ACA">
      <w:numFmt w:val="decimal"/>
      <w:lvlText w:val=""/>
      <w:lvlJc w:val="left"/>
    </w:lvl>
    <w:lvl w:ilvl="7" w:tplc="5C4E9EEA">
      <w:numFmt w:val="decimal"/>
      <w:lvlText w:val=""/>
      <w:lvlJc w:val="left"/>
    </w:lvl>
    <w:lvl w:ilvl="8" w:tplc="F06CFB64">
      <w:numFmt w:val="decimal"/>
      <w:lvlText w:val=""/>
      <w:lvlJc w:val="left"/>
    </w:lvl>
  </w:abstractNum>
  <w:abstractNum w:abstractNumId="1" w15:restartNumberingAfterBreak="0">
    <w:nsid w:val="70F82F6B"/>
    <w:multiLevelType w:val="hybridMultilevel"/>
    <w:tmpl w:val="D3F61DA0"/>
    <w:lvl w:ilvl="0" w:tplc="D7B61B20">
      <w:start w:val="1"/>
      <w:numFmt w:val="bullet"/>
      <w:lvlText w:val="●"/>
      <w:lvlJc w:val="left"/>
      <w:pPr>
        <w:ind w:left="720" w:hanging="360"/>
      </w:pPr>
    </w:lvl>
    <w:lvl w:ilvl="1" w:tplc="222EBDBC">
      <w:start w:val="1"/>
      <w:numFmt w:val="bullet"/>
      <w:lvlText w:val="○"/>
      <w:lvlJc w:val="left"/>
      <w:pPr>
        <w:ind w:left="1440" w:hanging="360"/>
      </w:pPr>
    </w:lvl>
    <w:lvl w:ilvl="2" w:tplc="4492F25E">
      <w:start w:val="1"/>
      <w:numFmt w:val="bullet"/>
      <w:lvlText w:val="■"/>
      <w:lvlJc w:val="left"/>
      <w:pPr>
        <w:ind w:left="2160" w:hanging="360"/>
      </w:pPr>
    </w:lvl>
    <w:lvl w:ilvl="3" w:tplc="B492C200">
      <w:start w:val="1"/>
      <w:numFmt w:val="bullet"/>
      <w:lvlText w:val="●"/>
      <w:lvlJc w:val="left"/>
      <w:pPr>
        <w:ind w:left="2880" w:hanging="360"/>
      </w:pPr>
    </w:lvl>
    <w:lvl w:ilvl="4" w:tplc="F5346440">
      <w:start w:val="1"/>
      <w:numFmt w:val="bullet"/>
      <w:lvlText w:val="○"/>
      <w:lvlJc w:val="left"/>
      <w:pPr>
        <w:ind w:left="3600" w:hanging="360"/>
      </w:pPr>
    </w:lvl>
    <w:lvl w:ilvl="5" w:tplc="4F4C7206">
      <w:start w:val="1"/>
      <w:numFmt w:val="bullet"/>
      <w:lvlText w:val="■"/>
      <w:lvlJc w:val="left"/>
      <w:pPr>
        <w:ind w:left="4320" w:hanging="360"/>
      </w:pPr>
    </w:lvl>
    <w:lvl w:ilvl="6" w:tplc="F5208096">
      <w:start w:val="1"/>
      <w:numFmt w:val="bullet"/>
      <w:lvlText w:val="●"/>
      <w:lvlJc w:val="left"/>
      <w:pPr>
        <w:ind w:left="5040" w:hanging="360"/>
      </w:pPr>
    </w:lvl>
    <w:lvl w:ilvl="7" w:tplc="98EC20B6">
      <w:start w:val="1"/>
      <w:numFmt w:val="bullet"/>
      <w:lvlText w:val="●"/>
      <w:lvlJc w:val="left"/>
      <w:pPr>
        <w:ind w:left="5760" w:hanging="360"/>
      </w:pPr>
    </w:lvl>
    <w:lvl w:ilvl="8" w:tplc="4380FFF4">
      <w:start w:val="1"/>
      <w:numFmt w:val="bullet"/>
      <w:lvlText w:val="●"/>
      <w:lvlJc w:val="left"/>
      <w:pPr>
        <w:ind w:left="6480" w:hanging="360"/>
      </w:pPr>
    </w:lvl>
  </w:abstractNum>
  <w:num w:numId="1" w16cid:durableId="1329869531">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DC8"/>
    <w:rsid w:val="004C0A31"/>
    <w:rsid w:val="007613B7"/>
    <w:rsid w:val="007F6951"/>
    <w:rsid w:val="00867F64"/>
    <w:rsid w:val="00A30FAE"/>
    <w:rsid w:val="00BF75C2"/>
    <w:rsid w:val="00CD2C7F"/>
    <w:rsid w:val="00D75DC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5B89AD72"/>
  <w15:docId w15:val="{31F27327-E60C-BA43-9D34-9B88C4C1B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C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1408</Words>
  <Characters>7747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mauricio ZELADA PEREZ</cp:lastModifiedBy>
  <cp:revision>3</cp:revision>
  <dcterms:created xsi:type="dcterms:W3CDTF">2026-08-27T01:35:00Z</dcterms:created>
  <dcterms:modified xsi:type="dcterms:W3CDTF">2026-08-27T01:39:00Z</dcterms:modified>
</cp:coreProperties>
</file>